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783"/>
        <w:gridCol w:w="5572"/>
      </w:tblGrid>
      <w:tr w:rsidR="00975E91" w:rsidRPr="00975E91" w:rsidTr="00975E91">
        <w:trPr>
          <w:trHeight w:val="836"/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fldChar w:fldCharType="begin"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instrText xml:space="preserve"> HYPERLINK "http://lex.justice.md/viewdoc.php?action=view&amp;view=doc&amp;id=356312&amp;lang=2" </w:instrTex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fldChar w:fldCharType="separate"/>
            </w:r>
            <w:proofErr w:type="spellStart"/>
            <w:r w:rsidRPr="00975E91">
              <w:rPr>
                <w:rStyle w:val="Hyperlink"/>
                <w:rFonts w:ascii="Times New Roman" w:hAnsi="Times New Roman" w:cs="Times New Roman"/>
                <w:sz w:val="24"/>
                <w:lang w:val="ro-RO"/>
              </w:rPr>
              <w:t>Версия</w:t>
            </w:r>
            <w:proofErr w:type="spellEnd"/>
            <w:r w:rsidRPr="00975E91">
              <w:rPr>
                <w:rStyle w:val="Hyperlink"/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Style w:val="Hyperlink"/>
                <w:rFonts w:ascii="Times New Roman" w:hAnsi="Times New Roman" w:cs="Times New Roman"/>
                <w:sz w:val="24"/>
                <w:lang w:val="ro-RO"/>
              </w:rPr>
              <w:t>на</w:t>
            </w:r>
            <w:proofErr w:type="spellEnd"/>
            <w:r w:rsidRPr="00975E91">
              <w:rPr>
                <w:rStyle w:val="Hyperlink"/>
                <w:rFonts w:ascii="Times New Roman" w:hAnsi="Times New Roman" w:cs="Times New Roman"/>
                <w:sz w:val="24"/>
                <w:lang w:val="ro-RO"/>
              </w:rPr>
              <w:t xml:space="preserve"> русском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                               </w:t>
            </w:r>
            <w:hyperlink r:id="rId4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Fișa actului juridic</w:t>
              </w:r>
            </w:hyperlink>
          </w:p>
        </w:tc>
      </w:tr>
      <w:tr w:rsidR="00975E91" w:rsidRPr="00975E91" w:rsidTr="00975E91">
        <w:trPr>
          <w:trHeight w:val="20"/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drawing>
                <wp:inline distT="0" distB="0" distL="0" distR="0" wp14:anchorId="57568778" wp14:editId="2D97E096">
                  <wp:extent cx="492760" cy="588645"/>
                  <wp:effectExtent l="0" t="0" r="2540" b="1905"/>
                  <wp:docPr id="3" name="Picture 3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Republica Moldova</w:t>
            </w:r>
          </w:p>
        </w:tc>
      </w:tr>
      <w:tr w:rsidR="00975E91" w:rsidRPr="00975E91" w:rsidTr="00975E91">
        <w:trPr>
          <w:trHeight w:val="20"/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CONSILIUL NAȚIONAL PENTRU ASISTENȚ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A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JURIDICĂ GARANTATĂ DE STAT</w:t>
            </w:r>
          </w:p>
        </w:tc>
      </w:tr>
      <w:tr w:rsidR="00975E91" w:rsidRPr="00975E91" w:rsidTr="00975E91">
        <w:trPr>
          <w:trHeight w:val="20"/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HOTĂRÎRE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 Nr. 27 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din  29.10.2014</w:t>
            </w:r>
          </w:p>
        </w:tc>
      </w:tr>
      <w:tr w:rsidR="00975E91" w:rsidRPr="00975E91" w:rsidTr="00975E91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cu privire la aprobarea Regulamentului 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 activitate al parajuriştilor</w:t>
            </w:r>
          </w:p>
        </w:tc>
      </w:tr>
      <w:tr w:rsidR="00975E91" w:rsidRPr="00975E91" w:rsidTr="00975E91">
        <w:trPr>
          <w:trHeight w:val="20"/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Publicat : 16.01.2015 în Monitorul Oficial Nr. 1-10     art Nr : 49</w:t>
            </w:r>
          </w:p>
        </w:tc>
      </w:tr>
      <w:tr w:rsidR="00975E91" w:rsidRPr="00975E91" w:rsidTr="00975E91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Înregistrat: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Ministerul Justiției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nr.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1014 din 30 decembrie 2014</w:t>
            </w:r>
          </w:p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Ministru___________Oleg EFRIM</w:t>
            </w:r>
          </w:p>
          <w:p w:rsidR="00975E91" w:rsidRPr="00975E91" w:rsidRDefault="00975E91" w:rsidP="00975E91">
            <w:p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În temeiul prevederilor art. 16 alin. (1) din Legea nr. 198-XVI din 26 iulie 2007 cu privire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 (Monitorul Oficial al Republicii Moldova, 2007,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nr.157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-160,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art.614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), cu modificările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completările ulterioare,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</w:t>
            </w:r>
          </w:p>
          <w:p w:rsidR="00975E91" w:rsidRPr="00975E91" w:rsidRDefault="00975E91" w:rsidP="00975E9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HOTĂRĂȘTE:</w:t>
            </w:r>
          </w:p>
          <w:p w:rsidR="00975E91" w:rsidRDefault="00975E91" w:rsidP="00975E91">
            <w:pP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    1. Se aprobă Regulamentul de activitate al parajuriştilor (se anexează).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2. Se abrogă Hotărîrea Consiliului Național pentru Asistența Juridică Garantată de Stat nr. 5 din 15 iunie 2011 cu privire la aprobarea Regulamentului de activitate al parajuriştilor (Monitorul Oficial al Republicii Moldova, 2012, nr. 7-12, art. nr. 49), înregistrată la Ministerul Justiției la 29 decembrie 2011 cu nr. 865.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3. Prezenta hotărîre se publică în Monitorul Oficial al Republicii Moldova.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</w:p>
          <w:p w:rsidR="00975E91" w:rsidRPr="00975E91" w:rsidRDefault="00975E91" w:rsidP="00975E91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PREȘEDINTELE CONSILIULUI                                  Victor ZAHARIA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  <w:t>    Secretarul Consiliului                                                       Olga Rabei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lastRenderedPageBreak/>
              <w:t>   REGULAMENT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  <w:t>DE ACTIVITATE AL PARAJURIŞTILOR</w:t>
            </w:r>
          </w:p>
          <w:p w:rsidR="00975E91" w:rsidRDefault="00975E91" w:rsidP="008F3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I. Prevederi generale</w:t>
            </w:r>
          </w:p>
          <w:p w:rsidR="008F3D23" w:rsidRPr="00975E91" w:rsidRDefault="008F3D23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1. Prezentul Regulament reglementează modalitatea de selectare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instruire a parajuriştilor, modul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de către parajurişti,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relaţiile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parajuriştilor cu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 (în continuare -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), Oficiile teritoriale ale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instituţii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avocaţi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alte persoane fizice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procesul de asigurare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primare, raportarea, monitorizarea, evaluarea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parajuriştilor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încetarea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parajurist.</w:t>
            </w: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2. Parajurist este persoana care se bucură de o înaltă stimă din partea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locale, are studii juridice incomplete sau studii superioare complete, care nu practică activitate de avocat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care, după o instruire specială, este calificat să acorde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solicitanţilor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din contul mijloacelor destinate acordării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din alte surse neinterzise de lege.</w:t>
            </w: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reprezintă furnizare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privind sistemul de drept al Republicii Moldova, privind actele normative în vigoare, drepturile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obligaţiile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subiecţilor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drept, privind modalitatea de realizare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valorificare a drepturilor pe cale judiciară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extrajudiciară; acordare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consultanţă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probleme juridice; acordare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vederea întocmirii actelor juridice; acordare a altor forme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care nu intră în categoria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calificată.</w:t>
            </w: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Acordînd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garantată de stat, parajuriştii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desfăşoară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 activitate de interes public, contribuind la implementarea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obligaţiei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statului de a asigura accesul la servicii juridice eficiente fiecărei persoane, indiferent de statutul financiar al acesteia. În acest scop, statul asigură parajuriştilor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condiţii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lucru pentru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garantate de stat, în conformitate cu Legea nr. 198-XVI din 27 iulie 2007 cu privire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alte acte normative.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Autorităţile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administraţiei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 locale pot asigura parajuriştii cu încăperi, mijloace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tehnico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-materiale necesare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oferi alt suport în vederea acordării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solicitanţilor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5. În procesul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garantate de stat, parajuriştii sînt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independenţi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oricare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influenţă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din partea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autorităţilor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publice. Orice imixtiune neprevăzută de Lege în activitatea profesională a parajuristului este interzisă.</w:t>
            </w: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6. Parajuriştii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desfăşoară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activitatea în baza prevederilor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Constituţiei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Republicii Moldova, Legii nr. 198-XVI din 27 iulie 2007 cu privire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stat, normelor prevăzute în prezentul Regulament, Codului deontologic al parajuristului, standardelor de calitate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parajuristului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alte acte normative adoptate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8F3D23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7.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se acordă pe principiul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egalităţii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drepturi a tuturor persoanelor care beneficiază de ea,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profesionale speciale a parajuriştilor,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confidenţialităţii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inadmisibilităţii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conflictului de interese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promptitudinii prin acordarea 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serviciilor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în vederea contribuirii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soluţionarea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problemei beneficiarului la fază incipientă.</w:t>
            </w:r>
          </w:p>
          <w:p w:rsidR="00975E91" w:rsidRPr="00975E91" w:rsidRDefault="00975E91" w:rsidP="008F3D2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8. Parajuriştii acordă servicii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tratează cu respect fiecare beneficiar, indiferent de rasa,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naţionalitatea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originea etnică, limba, religia, sexul, opinia,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apartenenţa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politica, averea sau originea socială a acestuia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oricare alte criterii de discriminare.</w:t>
            </w:r>
          </w:p>
          <w:p w:rsidR="00975E91" w:rsidRPr="00975E91" w:rsidRDefault="00975E91" w:rsidP="008F3D23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II. Selectarea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instruirea parajuriştilor</w:t>
            </w:r>
          </w:p>
          <w:p w:rsidR="008F3D23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9. Selectarea parajuriştilor pentru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se efectuează în bază de concurs, organizat de Comisia de concurs (în continuare – Comisia) în modul stabilit de prezentul Regulament.</w:t>
            </w:r>
          </w:p>
          <w:p w:rsidR="008F3D23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10. Comisia de concurs este compusă din coordonator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un reprezentant al oficiului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un reprezentant al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administraţiei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 locale.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Componenţa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nominală a Comisiei se aprobă de către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8F3D23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11. Comisia are următoarele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întocmirea documentelor necesare după concurs;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întocmirea listei finale a parajuriştilor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selectaţi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3)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necesare pentru procesul de selectare prin concurs a parajuriştilor.</w:t>
            </w:r>
          </w:p>
          <w:p w:rsidR="008F3D23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12. Concursul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anunţă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către Oficiile teritoriale ale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conform razei de activitate a acestora.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despre organizarea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concursului,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cerinţele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faţă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candidaţi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actele necesare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anunţarea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concursului,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desfăşurării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concursului se elaborează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se plasează pe pagina web a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cel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puţin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15 zile înainte de data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desfăşurării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concursului.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13. Procedura de organizare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concursului se bazează pe următoarele principii: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competiţia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deschisă, prin asigurarea accesului liber de participare la concurs a oricărei persoane care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îndeplineşte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condiţiile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cerute de lege;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alegere după merit, prin selectarea, în baza rezultatelor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obţinute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, a celor mai competente persoane;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3) asigurarea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transparenţei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prin punerea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dispoziţie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tuturor celor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interesaţi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referitoare la modul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concursului;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tratamentul egal, prin aplicarea în mod nediscriminatoriu a unor criterii de selectare obiective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clar definite,  astfel încît orice candidat să aibă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şanse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egale.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14. Cererile pentru participare la concurs se depun de către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candidaţi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la sediul oficiului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raza de activitate a căruia este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anunţat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concursul. Dosarul de participare la concurs trebuie să includă următoarele acte: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cerere pentru participare la concurs cu indicarea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localităţii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solicitate;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2) copia buletinului de identitate;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3) diploma de studii juridice incomplete sau, după caz, diploma de studii superioare complete;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scrisoare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motivaţie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5)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declaraţia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solicitantului că nu se află în niciunul dintre cazurile de incompatibilitate prevăzute la punctul 42 din prezentul Regulament;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6)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declaraţie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privire la conflictul de interese în cazul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existenţei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acestuia;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    7) ancheta completată de primarul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localităţii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(conform anexei nr. 1 la prezentul Regulament);  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8) alte acte pe care candidatul le consideră necesare pentru a demonstra calificarea sa.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15. În cazul în care nu a fost depus niciun dosar pentru participare la concurs, sau, ca rezultat al concursului, nu au fost suplinite toate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unităţile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vacante de parajurist,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anunţă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concurs repetat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unităţile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nesuplinite.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Anunţul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privire la organizarea concursului repetat se plasează pe pagina web a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cel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puţin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7 zile înainte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acestuia.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16. Comisia examinează dosarele prezentate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solicitanţi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conform criteriilor de selectare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invită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candidaţii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au depus dosarele complete la interviu. Comisia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stabileşte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data, locul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ora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desfăşurării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interviului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anunţă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candidaţii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preselectaţi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despre aceasta.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17. În cadrul interviului, fiecare membru al Comisiei completează cîte un act de evaluare a candidatului (conform anexei nr. 2 la prezentul Regulament), pentru fiecare candidat în parte, cu indicarea punctajului pentru fiecare criteriu de selectare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punctajului total acumulat. Se consideră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selectaţi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pentru a acorda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candidaţii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au acumulat cel mai mare număr de puncte.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18. Constituie un avantaj la evaluarea candidatului disponibilitatea acestuia de a acorda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localităţile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învecinate,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disponibilitatea de a acorda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mai mult decît 15 ore pe săptămînă.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19. Lucrările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şedinţei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Comisiei se consemnează într-un proces-verbal, care include: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prezenţa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membrilor Comisiei,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conţinutul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dezbaterilor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decizia adoptată, problemele puse la vot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rezultatele votării. Procesul-verbal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întocmeşte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decursul a 3 zile după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şedinţă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se semnează de membrii Comisiei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se păstrează în arhiva oficiului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20. Decizia Comisiei privind rezultatele concursului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întocmeşte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scris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include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componenţa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Comisiei, data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locul adoptării, ordinea de zi. Decizia se adoptă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se semnează de membrii Comisiei. Decizia Comisiei se aduce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cunoştinţă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candidaţilor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scris, în termen de 5 zile de la adoptarea acesteia.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21. Oficiul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încheie cu persoanele care au fost selectate în calitate de parajurişti contracte prevăzute la pct. 44 din prezentul Regulament.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22. Parajuristul este obligat să informeze oficiul teritorial despre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profesionale exercitate la momentul selectării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despre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care devine implicat pe parcursul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23.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asigură, atît instruirea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iniţială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cît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instruirea continuă a parajuriştilor în baza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curriculumurilor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instruire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iniţială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continuă aprobate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din contul mijloacelor bugetare destinate acordării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stat, inclusiv prin intermediul Institutului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Justiţiei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altor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entităţi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 mijloacelor parvenite din alte surse neinterzise de lege, alocate în acest scop. Instruirea parajuriştilor organizată de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entităţi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va fi recunoscută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acreditată, doar dacă există un acord de colaborare, în acest sens, dintre Consiliul National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entitatea respectivă.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24. Parajuristul este obligat să ofere suficientă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atenţie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procesului de instruire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iniţială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continuă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autoinstruire. Anual, parajuristul urmează cursuri de instruire de cel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puţin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40 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ore academice. Parajuriştii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perfecţionează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încontinuu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cunoştinţele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deprinderile practice, participînd la cursurile de instruire organizate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cît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la cursuri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perfecţionare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organizate în cadrul altor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organizaţii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25. Cursurile de instruire organizate sub egida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sînt obligatorii. Parajuristul poate absenta de la instruire,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parţial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sau integral, doar în cazuri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excepţionale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din cauza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circumstanţelor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întemeiate profesionale, de sănătate sau de familie. Dacă nu se poate prezenta la instruire, parajuristul va aduce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cunoştinţa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oficiului teritorial în raza căruia activează, în scris, inclusiv prin e-mail, motivul neprezentării, în caz contrar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absenţa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va fi calificată ca nemotivată.</w:t>
            </w:r>
          </w:p>
          <w:p w:rsidR="00975E91" w:rsidRPr="00975E91" w:rsidRDefault="00975E91" w:rsidP="00902F4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III. Acordarea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juridice primare de către parajurist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26. În vederea acordării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garantate de stat, parajuristul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îndeplineşte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următoarele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  furnizează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oferă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consultanţă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la solicitarea locuitorilor din comunitate;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mediază, la solicitare, conflictele între membrii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3) organizează seminare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lecţii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 pe diverse tematici ce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 profesională;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oferă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membrilor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care activează în scopul prevenirii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apariţiei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unor probleme de natură juridică sau conflicte;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5) participă, în limitele prevăzute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legislaţie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, la procesele locale de luare a deciziilor;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6) 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direcţionează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cazurile în care este nevoie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calificată către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avocaţi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după caz, către Oficiile teritoriale ale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 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7)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direcţionează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cazurile care nu sînt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parajuristului sau Oficiilor teritoriale ale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către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instituţii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persoane publice sau private competente să 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soluţioneze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 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8) mobilizează membrii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pentru realizarea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acţiunilor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interes comun;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9)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prevăzute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legislaţia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domeniul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garantate de stat,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hotărîrile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prezentul  Regulament.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27. În procesul de acordare a </w:t>
            </w:r>
            <w:r w:rsidR="00902F40" w:rsidRPr="00975E91">
              <w:rPr>
                <w:rFonts w:ascii="Times New Roman" w:hAnsi="Times New Roman" w:cs="Times New Roman"/>
                <w:sz w:val="24"/>
                <w:lang w:val="ro-RO"/>
              </w:rPr>
              <w:t>asistenței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primare, parajuristul este obligat: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1) să nu dăuneze;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să respecte mandatul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prevederile contractului încheiat cu oficiul teritorial;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3) să explice clar care sînt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competenţele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să precizeze metodele de lucru;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4) să dea dovadă de respect pentru beneficiari;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5) să abordeze profesionist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tactic subiectele sensibile;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6) să ia decizii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să întreprindă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acţiuni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mod obiectiv,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imparţial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nediscriminatoriu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echitabil, fără a acorda prioritate unor persoane sau grupuri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funcţie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rasă,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naţionalitate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origine etnică, limbă, religie, sex, opinie,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apartenenţă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politică, avere sau origine socială;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7) să aibă un comportament bazat pe respect,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exigenţă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corectitudine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amabilitate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relaţiile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sale cu publicul,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relaţiile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administraţia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publică locală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reprezentanţii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instituţiilor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8) să-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îndeplinească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responsabilitate,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eficienţă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promptitudine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corectitudine;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9) să respecte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Constituţia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Republicii Moldova,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legislaţia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vigoare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tratatele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internaţionale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la care Republica Moldova este parte;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10) să respecte normele morale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etice, prevederile Codului deontologic al 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parajuristului,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standardele de calitate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parajuristului aprobate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11) să asigure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transparenţa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să promoveze valorile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garantate de stat în activitatea cotidiană;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12) să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abţină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la orice act sau faptă care ar putea pune la dubiu credibilitatea sau poate prejudicia imaginea, prestigiul sau interesele sistemului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>uridică garantată de stat;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br/>
              <w:t>    13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 să comunice oficiului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dacă consideră că i se cere sau că este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forţat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acţioneze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ilegal sau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contradicţie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normele de conduită;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1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>4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 să dezvolte parteneriatele necesare procesului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>stenţei</w:t>
            </w:r>
            <w:proofErr w:type="spellEnd"/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primare;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br/>
              <w:t>    15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) să evit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>e conflictul de interese;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br/>
              <w:t>    16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 să asigure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confidenţialitatea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datelor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informaţiilor</w:t>
            </w:r>
            <w:proofErr w:type="spellEnd"/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 xml:space="preserve"> acolo unde este necesar;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br/>
              <w:t>    17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 să prezinte lunar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trimestrial, către data de 5 a următoarei luni a perioadei de raportare un raport de activitate către oficiul teritorial în a cărui rază de acti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t>vitate acordă serviciile;</w:t>
            </w:r>
            <w:r w:rsidR="00902F40">
              <w:rPr>
                <w:rFonts w:ascii="Times New Roman" w:hAnsi="Times New Roman" w:cs="Times New Roman"/>
                <w:sz w:val="24"/>
                <w:lang w:val="ro-RO"/>
              </w:rPr>
              <w:br/>
              <w:t>    18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)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obligaţii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conform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legislaţiei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domeniul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garantate de stat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hotărîrilor adoptate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28. Orele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audienţă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parajuristului sînt stabilite în baza unui grafic, de comun acord cu comunitatea în care activează, dar nu pot constitui mai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puţin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15 ore pe săptămînă repartizate uniform pentru cel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puţin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3 zile diferite. Parajuristul va informa în scris oficiul teritorial despre graficul de activitate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modificarea graficului în cel mult 3 zile.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29. Parajuriştii acordă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cetăţenilor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Republicii Moldova,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cetăţenilor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străini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apatrizi indiferent de nivelul veniturilor lor.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30. Pentru a beneficia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primară, solicitantul adresează parajuristului ce activează în localitatea cea mai apropiată domiciliului său cerere scrisă sau orală. Cererea scrisă poate fi depusă personal sau remisă prin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poştă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inclusiv în format electronic la adresa de e-mail a parajuristului. Cererea verbală poate fi înaintată inclusiv telefonic. Solicitantul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are dreptul să se adreseze o singură dată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privinţa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aceleiaşi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probleme,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excepţia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cazului cînd se descoperă noi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circumstanţe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relevante.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31. În cazul unui beneficiar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disabilităţi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poate fi acordată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la domiciliul solicitantului.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32.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se acordă cît mai curînd posibil, din momentul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recepţionării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cererii. În cazul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imposibilităţii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acordare imediată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solicitantului i se va comunica data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ora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audienţei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. Data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ora următoarei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audienţe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nu va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depăşi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termenul de 3 zile de la data adresării cererii.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33. Parajuristul se implică la o fază incipientă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în limita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sale profesionale, ajută solicitantul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să găsească cea mai optimă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soluţie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din punctul de vedere al rezultatului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costurilor implicate.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34. Parajuristul este obligat să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înştiinţeze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beneficiarul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despre categoriile de servicii pe care le acordă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despre calificarea sa profesională specială. Se interzice parajuristului să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menţioneze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sau prin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acţiunile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sale să facă aluzie la pregătire profesională de jurist sau avocat.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    35. Parajuristul refuză preluarea unui caz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acordarea corespunzător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în cazul în care calificarea sa profesională nu permite a îndeplini corespunzător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îi revin.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36. Parajuristului i se interzice a acorda servicii, care conform legii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competenţa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exclusivă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avocaţilor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notarilor, executorilor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judecătoreşti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altor categorii de profesii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servicii juridice care nu sînt atribuite prin lege parajuriştilor.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37. Dacă în procesul acordării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beneficiarul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optează pentru o metodă ilegală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soluţionare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problemei sale, parajuristul este obligat să prezinte dezavantajele unei asemenea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soluţii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efectele juridice adiacente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să refuze acordarea ulterioară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în rezolvarea problemei invocate.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38. Dacă se constată un conflict de interese al parajuristului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 solicitantului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primară, parajuristul este în drept, cu acordul scris al solicitantului, să continue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ori/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să indice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posibilităţile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existente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obţinerea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asemenea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la alte organe sau alte persoane competente.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39. În procesul de exercitare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parajurist, conflictul de interese apare atunci cînd există un conflict dintre exercitarea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parajurist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interesele materiale sau nemateriale ale parajuristului, care rezultă din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necesităţile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intenţiile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personale, din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relaţiile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lui cu persoane apropiate (rudele sau afinii pînă la gradul IV) sau persoane juridice, indiferent de tipul de proprietate, din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relaţiile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afiliaţiile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personale cu partide politice,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organizaţii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necomerciale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organizaţii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internaţionale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rezultă din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preferinţele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sau angajamentele acestora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influenţează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sau pot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influenţa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necorespunzător îndeplinirea obiectivă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imparţială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obligaţiilor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îi revin parajuristului în procesul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lezează sau poate leza drepturile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interesele beneficiarului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general.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40. Parajuriştii asigură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confidenţialitatea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deplină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obţinute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 rezultat al acordării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garantate de stat. În acest scop fiecare parajurist la angajare semnează o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declaraţie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angajament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confidenţialitate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prin care se obligă să nu divulge nicio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i-a devenit cunoscută în legătură cu adresarea pentru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garantate de stat,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excepţia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cazului cînd beneficiarul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renunţă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scris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confidenţialitate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    41. Activitatea de parajurist este incompatibilă cu: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activitatea remunerată în cadrul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autorităţilor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 locale;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activitatea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funcţionar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funcţia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demnitate publică;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3) orice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funcţii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sau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remunerate, fără acordul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orice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ar putea pune la dubiu credibilitatea sau poate prejudicia imaginea, prestigiul sau interesele sistemului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stat.</w:t>
            </w:r>
          </w:p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42. Parajuristul poate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remunerate, decît cele stipulate în prezentul Regulament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contractul semnat cu oficiul teritorial, doar cu acordul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975E91" w:rsidRPr="00975E91" w:rsidRDefault="00975E91" w:rsidP="00902F4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IV.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Relaţiile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parajuristului cu Consiliul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, 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  <w:t xml:space="preserve">Oficiile teritoriale ale Consiliului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avocaţi</w:t>
            </w:r>
            <w:proofErr w:type="spellEnd"/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    43. Remunerarea parajuriştilor se efectuează de la bugetul de stat, în baza contractului de prestare a serviciilor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garantate de stat încheiat cu oficiul teritorial sau din alte surse neinterzise de lege.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44. Parajuristul este obligat să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menţină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legătura permanentă cu oficiul teritorial în a cărui rază de activitate acordă serviciile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avocaţi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în vederea asigurării celor mai înalte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performanţe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profesionale.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45. În cazul în care, în procesul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se constată necesitatea acordării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calificată sau mediere garantată de stat, parajuristul va înceta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va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direcţiona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solicitantul către oficiul teritorial,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informînd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despre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condiţiile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beneficierii de o astfel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la solicitare,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asistînd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beneficiarul la întocmirea cererii.</w:t>
            </w:r>
          </w:p>
          <w:p w:rsidR="00902F40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46. Oficiile teritoriale ale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colectează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analizează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despre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acordată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 prezintă trimestrial Aparatului administrativ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. Aparatul administrativ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analizează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compilează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generalizează practica de activitate a parajuriştilor, elaborează recomandări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le prezintă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adoptă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hotărîri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vederea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îmbunătăţirii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acesteia.</w:t>
            </w:r>
          </w:p>
          <w:p w:rsidR="00975E91" w:rsidRPr="00975E91" w:rsidRDefault="00975E91" w:rsidP="00975E91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47.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colaborează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organizaţii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străine,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organizaţii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internaţionale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asociaţii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obşteşti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vederea acordării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reţelei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parajurişti.</w:t>
            </w:r>
          </w:p>
          <w:p w:rsidR="00975E91" w:rsidRPr="00975E91" w:rsidRDefault="00975E91" w:rsidP="00902F40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V. Asigurarea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calităţii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juridice primare,</w:t>
            </w:r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  <w:t xml:space="preserve">raportarea, monitorizarea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 xml:space="preserve"> evaluarea </w:t>
            </w:r>
            <w:proofErr w:type="spellStart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br/>
              <w:t>parajuristului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48. Coordonarea procesului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ţinerea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registrului persoanelor autorizate să acorde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organizarea controlului asupra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calităţii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serviciilor acordate se efectuează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prin intermediul Aparatului administrativ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Oficiilor sale teritoriale.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49.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Evidenţa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acordate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ţine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registru (conform anexei nr. 3 la prezentul Regulament), în care se înscrie problema în legătură cu care a fost solicitată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primară, durata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audienţei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rezultatul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consultaţiei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acordate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datele cu caracter personal ale solicitantului care au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funcţia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identificare: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numele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prenumele solicitantului;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data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naşterii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3) adresa de la domiciliu;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numărul de telefon, adresa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poştei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electronice;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5) alte date utile parajuristului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menţinerea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contactului cu solicitantul.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50. Datele cu caracter personal trebuie să fie colectate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prelucrate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prezenţa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acordului prealabil al subiectului datelor cu caracter personal conform prevederilor Legii nr. 133 din 8 iulie 2011, privind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protecţia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datelor cu caracter personal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interesul executării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care rezultă din activitatea de parajurist, cu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condiţia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 acest interes să nu prejudicieze interesele sau drepturile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libertăţile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fundamentale ale solicitantului. 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51. Dacă solicitantul adresează cerere orală, dovada acordării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se consemnează prin semnătură în registru. Dacă solicitantul refuză să semneze în registru 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sau să-i fie colectate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prelucrate datele cu caracter personal, parajuristul va face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menţiunea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scris în registru.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52. În raportul de activitate se vor reflecta aspecte de management al biroului, precum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cele ce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procesul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primare, conform anexei nr. 4 la prezentul Regulament. La raportul de activitate se anexează copia registrului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garantate de stat pentru perioada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referinţă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Recepţionarea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raportului de activitate se înregistrează în registrul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ţinut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oficiul teritorial.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    53. Oficiul teritorial examinează raportul trimestrial de activitate al parajuristului în termen de 15 zile de la data prezentării. Raportul se examinează de către consultantul desemnat de coordonatorul oficiului teritorial.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54. Datele prezentate în raportul de activitate sînt confruntate cu datele înscrise în registrul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primare, prezentat în copie de către parajurist, de asemenea, se verifică corespunderea înscrierilor la rubrica ore de instruire continuă cu planul de autoinstruire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instruire continuă din raportul prezentat pentru perioada precedentă de raportare. Datele ce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conţin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raportul de activitate privind volumul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acordate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categoriile de beneficiari se introduc în raportul consolidat privind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în perioada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referinţă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. În caz de necesitate, pot fi solicitate date suplimentare în scris, telefonic sau, după caz,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explicaţii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verbale.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55. Concluziile evaluării raportului trimestrial de activitate al parajuristului se aduc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cunoştinţa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acestuia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pot servi drept temei pentru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declanşarea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procesului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evaluare neplanificată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parajuristului.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56. Periodic, dar nu mai rar de o dată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şase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luni, activitatea parajuristului este supusă monitorizării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evaluării complexe, în baza unor criterii obiective. Scopul monitorizării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evaluării este identificarea punctelor forte, vulnerabile, riscurilor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oportunităţilor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activitatea parajuristului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adaptarea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acestuia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necesităţile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beneficiarilor, conform obiectivelor Legii cu privire la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juridică garantată de stat.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57. Concluziile formulate în procesul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evaluare au, de regulă, un caracter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proactiv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deduse în mod participativ cu implicarea parajuristului, astfel încît parajuristul monitorizat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evaluat să poate beneficia efectiv de rezultatele procesului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evaluare.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58. Criteriile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parajuristului sînt: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acordarea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de către parajurist;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negocierea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medierea cauzelor;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3)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desfăşurarea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lecţiilor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interacţiunea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oficiul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avocaţii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5)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interacţionarea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alte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autorităţi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6)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acţiuni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promovare a intereselor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7) instruirea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iniţială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continuă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autoinstruirea;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8)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bună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funcţionare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oficiului.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59. Rapoartele trimestriale de activitate a parajuristului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registrul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acordate constituie surse de verificare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procesul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evaluare. De asemenea, sursă de verificare reprezintă opinia parajuristului, după caz,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reprezentanţilor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administraţiei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publice locale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membrilor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comunităţii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 xml:space="preserve">    60. În cadrul procesului de monitorizare, consultantul oficiului teritorial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întocmeşte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un act de monitorizare, conform anexei nr. 5 la prezentul Regulament. Actul de monitorizare, semnat de responsabilul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către parajurist, se transmite Coordonatorului oficiului teritorial.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61. În baza actului de monitorizare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documentelor anexate la acesta, consultantul oficiului teritorial evaluează activitatea parajuristului. Fiecare compartiment este evaluat cu un calificativ de la 1 la 10, în baza grilei de evaluare, conform anexei nr. 6 la prezentul Regulament. Calificativul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obţinut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se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înmulţeşte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cu coeficientul stabilit la rubrica corespunzătoare, punctajul rezultant fiind inclus în tabel. La final, punctele acumulate se sumează.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62. La finalizarea procesului de evaluare, consultantul oficiului teritorial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întocmeşte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actul de evaluare, conform anexei nr. 7 la prezentul Regulament. Daca în urma evaluării a acumulat 90-100 puncte, parajuristul urmează a continua activitatea, fără modificări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esenţiale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. În cazul în care în urma evaluării a acumulat 75-89 puncte, parajuristul urmează a continua activitatea, cu îndeplinirea angajamentelor specificate la pct. IX din actul de monitorizare. În cazul în care în urma evaluării a acumulat 50-74 puncte, parajuristul urmează a continua activitatea îndeplinind angajamentele specificate la pct. IX din actul de monitorizare, cu efectuarea unei monitorizări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evaluări repetate în termen util care ar permite remedierea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deficienţelor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. În cazul în care în urma evaluării a acumulat pînă la 50 puncte, oficiul teritorial reziliază contractul de acordare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asistenţei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juridice primare cu parajuristul respectiv.</w:t>
            </w:r>
          </w:p>
          <w:p w:rsidR="00902F40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    63.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stabileşte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revizuieşte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periodic standardele de activitate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perfecţionare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profesională a parajuriştilor.</w:t>
            </w:r>
          </w:p>
          <w:p w:rsidR="00975E91" w:rsidRPr="00975E91" w:rsidRDefault="00975E91" w:rsidP="00902F4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    64. Temeiurile de reziliere a contractului încheiat cu parajuristul de către oficiul teritorial: 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1) neexecutarea sau executarea necorespunzătoare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atribuţiilor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ce îi revin parajuristului stabilite în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legislaţie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în prezentul Regulament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contract;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2) încălcării grave, de o singură dată, a normelor Codului deontologic al parajuristului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a nerespectării standardelor de calitate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activităţii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parajuristului, aprobate de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 3) nedeclararea conflictului de interese;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4) prezentarea de către candidat în procesul de selectare 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informaţiei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eronate în dosarul de participare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în cadrul interviului;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5) survenirea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situaţiei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de incompatibilitate cu activitatea de parajurist, iar în cazurile în care se permite cu acordul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, dacă nu există acordul în acest sens;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6)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absenţa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nemotivată mai mult de 10 ore pe an de la cursurile de instruire organizate de către sau în cooperare cu Consiliul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, încălcarea repetată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şi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 xml:space="preserve"> nemotivată a programului de activitate.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 xml:space="preserve">    Calitatea de parajurist încetează din momentul rezilierii contractului încheiat cu oficiul teritorial al Consiliului </w:t>
            </w:r>
            <w:proofErr w:type="spellStart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Naţional</w:t>
            </w:r>
            <w:proofErr w:type="spellEnd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 </w:t>
            </w:r>
            <w:hyperlink r:id="rId6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ane</w:t>
              </w:r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x</w:t>
              </w:r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 xml:space="preserve">a </w:t>
              </w:r>
              <w:proofErr w:type="spellStart"/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nr.1</w:t>
              </w:r>
              <w:proofErr w:type="spellEnd"/>
            </w:hyperlink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 </w:t>
            </w:r>
            <w:hyperlink r:id="rId7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 xml:space="preserve">anexa </w:t>
              </w:r>
              <w:proofErr w:type="spellStart"/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nr.2</w:t>
              </w:r>
              <w:proofErr w:type="spellEnd"/>
            </w:hyperlink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bookmarkStart w:id="0" w:name="_GoBack"/>
            <w:bookmarkEnd w:id="0"/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    </w:t>
            </w:r>
            <w:hyperlink r:id="rId8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 xml:space="preserve">anexa </w:t>
              </w:r>
              <w:proofErr w:type="spellStart"/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nr.3</w:t>
              </w:r>
              <w:proofErr w:type="spellEnd"/>
            </w:hyperlink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 </w:t>
            </w:r>
            <w:hyperlink r:id="rId9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 xml:space="preserve">anexa </w:t>
              </w:r>
              <w:proofErr w:type="spellStart"/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nr.4</w:t>
              </w:r>
              <w:proofErr w:type="spellEnd"/>
            </w:hyperlink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 </w:t>
            </w:r>
            <w:hyperlink r:id="rId10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 xml:space="preserve">anexa </w:t>
              </w:r>
              <w:proofErr w:type="spellStart"/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nr.5</w:t>
              </w:r>
              <w:proofErr w:type="spellEnd"/>
            </w:hyperlink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</w:r>
            <w:r w:rsidRPr="00975E91">
              <w:rPr>
                <w:rFonts w:ascii="Times New Roman" w:hAnsi="Times New Roman" w:cs="Times New Roman"/>
                <w:sz w:val="24"/>
                <w:lang w:val="ro-RO"/>
              </w:rPr>
              <w:br/>
              <w:t>    </w:t>
            </w:r>
            <w:hyperlink r:id="rId11" w:history="1"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 xml:space="preserve">anexa </w:t>
              </w:r>
              <w:proofErr w:type="spellStart"/>
              <w:r w:rsidRPr="00975E91">
                <w:rPr>
                  <w:rStyle w:val="Hyperlink"/>
                  <w:rFonts w:ascii="Times New Roman" w:hAnsi="Times New Roman" w:cs="Times New Roman"/>
                  <w:sz w:val="24"/>
                  <w:lang w:val="ro-RO"/>
                </w:rPr>
                <w:t>nr.6</w:t>
              </w:r>
              <w:proofErr w:type="spellEnd"/>
            </w:hyperlink>
          </w:p>
        </w:tc>
      </w:tr>
    </w:tbl>
    <w:p w:rsidR="002B5002" w:rsidRPr="00975E91" w:rsidRDefault="002B5002">
      <w:pPr>
        <w:rPr>
          <w:rFonts w:ascii="Times New Roman" w:hAnsi="Times New Roman" w:cs="Times New Roman"/>
          <w:sz w:val="24"/>
          <w:lang w:val="ro-RO"/>
        </w:rPr>
      </w:pPr>
    </w:p>
    <w:sectPr w:rsidR="002B5002" w:rsidRPr="00975E91" w:rsidSect="00975E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17"/>
    <w:rsid w:val="002B5002"/>
    <w:rsid w:val="008F3D23"/>
    <w:rsid w:val="00902F40"/>
    <w:rsid w:val="00975E91"/>
    <w:rsid w:val="00B6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ACF2-9DEA-4A8F-9995-B26C999E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E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UserFiles/File/2015/mo1-10md/anexa%203_27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x.justice.md/UserFiles/File/2015/mo1-10md/anexa%202_27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justice.md/UserFiles/File/2015/mo1-10md/anexa%201_27.docx" TargetMode="External"/><Relationship Id="rId11" Type="http://schemas.openxmlformats.org/officeDocument/2006/relationships/hyperlink" Target="http://lex.justice.md/UserFiles/File/2015/mo1-10md/anexa%206_27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lex.justice.md/UserFiles/File/2015/mo1-10md/anexa%205_27.docx" TargetMode="External"/><Relationship Id="rId4" Type="http://schemas.openxmlformats.org/officeDocument/2006/relationships/hyperlink" Target="http://lex.justice.md/index.php?action=view&amp;view=doc&amp;lang=1&amp;id=356312" TargetMode="External"/><Relationship Id="rId9" Type="http://schemas.openxmlformats.org/officeDocument/2006/relationships/hyperlink" Target="http://lex.justice.md/UserFiles/File/2015/mo1-10md/anexa%204_2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4623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Batrinac</dc:creator>
  <cp:keywords/>
  <dc:description/>
  <cp:lastModifiedBy>Andrei Batrinac</cp:lastModifiedBy>
  <cp:revision>2</cp:revision>
  <dcterms:created xsi:type="dcterms:W3CDTF">2015-01-22T11:32:00Z</dcterms:created>
  <dcterms:modified xsi:type="dcterms:W3CDTF">2015-01-22T11:56:00Z</dcterms:modified>
</cp:coreProperties>
</file>